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8A1" w:rsidRPr="006718A1" w:rsidRDefault="006718A1" w:rsidP="006718A1">
      <w:pPr>
        <w:numPr>
          <w:ilvl w:val="0"/>
          <w:numId w:val="1"/>
        </w:numPr>
        <w:ind w:left="288" w:hanging="142"/>
        <w:contextualSpacing/>
        <w:rPr>
          <w:rFonts w:ascii="Arial" w:hAnsi="Arial" w:cs="Arial"/>
          <w:b/>
          <w:color w:val="000000"/>
          <w:sz w:val="24"/>
          <w:szCs w:val="24"/>
        </w:rPr>
      </w:pPr>
      <w:r w:rsidRPr="006718A1">
        <w:rPr>
          <w:rFonts w:ascii="Arial" w:hAnsi="Arial" w:cs="Arial"/>
          <w:b/>
          <w:color w:val="000000"/>
          <w:sz w:val="24"/>
          <w:szCs w:val="24"/>
          <w:u w:val="single"/>
        </w:rPr>
        <w:t>Oferta turystyczna:</w:t>
      </w:r>
      <w:r w:rsidRPr="006718A1">
        <w:rPr>
          <w:rFonts w:ascii="Arial" w:hAnsi="Arial" w:cs="Arial"/>
          <w:color w:val="000000"/>
          <w:sz w:val="24"/>
          <w:szCs w:val="24"/>
        </w:rPr>
        <w:t xml:space="preserve"> budowa, rozbudowa, przebudowa, remont kompleksowych wielofunkcyjnych: obiektów turystycznych oraz stref aktywności turystycznej skoncentrowanych wokół atrakcji turystycznych np. takie jak: tężnie, platformy i wieże widokowe, miejsca obserwacyjne, ścianki wspinaczkowe, amfiteatry plenerowe, jako element projektu mała architektura turystyczna (np. ławki, stoły, paleniska, grille, wiaty, infokioski, itp.), budowa, rozbudowa, przebudowa, remont infrastruktury turystycznej przy zbiornikach wodnych, ciekach naturalnych, wyrobiskach pożwirowych wraz z tworzeniem miejsc wypoczynku na tych obszarach oraz zagospodarowaniem tych obszarów w celach turystycznych m.in. poprzez tworzenie kąpielisk wraz z elementami infrastruktury turystycznej np. podesty, plaże, boiska do sportów plażowych, itp.</w:t>
      </w:r>
    </w:p>
    <w:p w:rsidR="006718A1" w:rsidRPr="006718A1" w:rsidRDefault="006718A1" w:rsidP="006718A1">
      <w:pPr>
        <w:contextualSpacing/>
        <w:rPr>
          <w:rFonts w:ascii="Arial" w:hAnsi="Arial" w:cs="Arial"/>
          <w:b/>
          <w:color w:val="000000"/>
          <w:sz w:val="24"/>
          <w:szCs w:val="24"/>
        </w:rPr>
      </w:pPr>
    </w:p>
    <w:p w:rsidR="006718A1" w:rsidRPr="006718A1" w:rsidRDefault="006718A1" w:rsidP="006718A1">
      <w:pPr>
        <w:numPr>
          <w:ilvl w:val="0"/>
          <w:numId w:val="1"/>
        </w:numPr>
        <w:ind w:left="288" w:hanging="142"/>
        <w:contextualSpacing/>
        <w:rPr>
          <w:rFonts w:ascii="Arial" w:hAnsi="Arial" w:cs="Arial"/>
          <w:b/>
          <w:color w:val="000000"/>
          <w:sz w:val="24"/>
          <w:szCs w:val="24"/>
        </w:rPr>
      </w:pPr>
      <w:r w:rsidRPr="006718A1">
        <w:rPr>
          <w:rFonts w:ascii="Arial" w:hAnsi="Arial" w:cs="Arial"/>
          <w:b/>
          <w:color w:val="000000"/>
          <w:sz w:val="24"/>
          <w:szCs w:val="24"/>
          <w:u w:val="single"/>
        </w:rPr>
        <w:t>Trasy turystyczne:</w:t>
      </w:r>
      <w:r w:rsidRPr="006718A1">
        <w:rPr>
          <w:rFonts w:ascii="Arial" w:hAnsi="Arial" w:cs="Arial"/>
          <w:color w:val="000000"/>
          <w:sz w:val="24"/>
          <w:szCs w:val="24"/>
        </w:rPr>
        <w:t xml:space="preserve"> budowa, rozbudowa i promocja szlaków turystycznych m.in.: szlaki piesze, rowerowe, biegowe, kajakowe, jeździeckie, wsparcie infrastruktury towarzyszącej, m.in. miejsca postojowe wyposażone w wiaty zapewniające ochronę przed słońcem i deszczem, stojaki dla rowerów, ławki, stoły, grille, paleniska, kosze na śmieci, zaplecze sanitarne, tablice informacyjne z przebiegiem szlaku, stacje ładowania telefonów i urządzeń mobilnych, dystrybutory/ujęcia wody pitnej, itp.</w:t>
      </w:r>
    </w:p>
    <w:p w:rsidR="006718A1" w:rsidRPr="006718A1" w:rsidRDefault="006718A1" w:rsidP="006718A1">
      <w:pPr>
        <w:contextualSpacing/>
        <w:rPr>
          <w:rFonts w:ascii="Arial" w:hAnsi="Arial" w:cs="Arial"/>
          <w:b/>
          <w:color w:val="000000"/>
          <w:sz w:val="24"/>
          <w:szCs w:val="24"/>
        </w:rPr>
      </w:pPr>
    </w:p>
    <w:p w:rsidR="006718A1" w:rsidRPr="006718A1" w:rsidRDefault="006718A1" w:rsidP="006718A1">
      <w:pPr>
        <w:contextualSpacing/>
        <w:rPr>
          <w:rFonts w:ascii="Arial" w:hAnsi="Arial" w:cs="Arial"/>
          <w:b/>
          <w:color w:val="000000"/>
          <w:sz w:val="24"/>
          <w:szCs w:val="24"/>
        </w:rPr>
      </w:pPr>
    </w:p>
    <w:tbl>
      <w:tblPr>
        <w:tblStyle w:val="Tabela-Siatka"/>
        <w:tblW w:w="0" w:type="auto"/>
        <w:jc w:val="center"/>
        <w:tblInd w:w="-1064" w:type="dxa"/>
        <w:tblLook w:val="04A0" w:firstRow="1" w:lastRow="0" w:firstColumn="1" w:lastColumn="0" w:noHBand="0" w:noVBand="1"/>
      </w:tblPr>
      <w:tblGrid>
        <w:gridCol w:w="2906"/>
        <w:gridCol w:w="1842"/>
        <w:gridCol w:w="1842"/>
        <w:gridCol w:w="3227"/>
      </w:tblGrid>
      <w:tr w:rsidR="006718A1" w:rsidRPr="006718A1" w:rsidTr="00A62061">
        <w:trPr>
          <w:jc w:val="center"/>
        </w:trPr>
        <w:tc>
          <w:tcPr>
            <w:tcW w:w="2906" w:type="dxa"/>
            <w:shd w:val="pct10" w:color="auto" w:fill="auto"/>
            <w:vAlign w:val="center"/>
          </w:tcPr>
          <w:p w:rsidR="006718A1" w:rsidRPr="006718A1" w:rsidRDefault="006718A1" w:rsidP="00A62061">
            <w:pPr>
              <w:jc w:val="center"/>
              <w:rPr>
                <w:rFonts w:ascii="Arial" w:eastAsia="Calibri" w:hAnsi="Arial" w:cs="Arial"/>
                <w:b/>
              </w:rPr>
            </w:pPr>
            <w:r w:rsidRPr="006718A1">
              <w:rPr>
                <w:rFonts w:ascii="Arial" w:eastAsia="Calibri" w:hAnsi="Arial" w:cs="Arial"/>
                <w:b/>
              </w:rPr>
              <w:t>Wskaźnik produktu</w:t>
            </w:r>
          </w:p>
        </w:tc>
        <w:tc>
          <w:tcPr>
            <w:tcW w:w="1842" w:type="dxa"/>
            <w:shd w:val="pct10" w:color="auto" w:fill="auto"/>
            <w:vAlign w:val="center"/>
          </w:tcPr>
          <w:p w:rsidR="006718A1" w:rsidRPr="006718A1" w:rsidRDefault="006718A1" w:rsidP="00A62061">
            <w:pPr>
              <w:jc w:val="center"/>
              <w:rPr>
                <w:rFonts w:ascii="Arial" w:eastAsia="Calibri" w:hAnsi="Arial" w:cs="Arial"/>
                <w:b/>
              </w:rPr>
            </w:pPr>
            <w:r w:rsidRPr="006718A1">
              <w:rPr>
                <w:rFonts w:ascii="Arial" w:eastAsia="Calibri" w:hAnsi="Arial" w:cs="Arial"/>
                <w:b/>
              </w:rPr>
              <w:t>Wartość wskaźnika</w:t>
            </w:r>
          </w:p>
        </w:tc>
        <w:tc>
          <w:tcPr>
            <w:tcW w:w="1842" w:type="dxa"/>
            <w:shd w:val="pct10" w:color="auto" w:fill="auto"/>
            <w:vAlign w:val="center"/>
          </w:tcPr>
          <w:p w:rsidR="006718A1" w:rsidRPr="006718A1" w:rsidRDefault="006718A1" w:rsidP="00A62061">
            <w:pPr>
              <w:jc w:val="center"/>
              <w:rPr>
                <w:rFonts w:ascii="Arial" w:eastAsia="Calibri" w:hAnsi="Arial" w:cs="Arial"/>
                <w:b/>
              </w:rPr>
            </w:pPr>
            <w:r w:rsidRPr="006718A1">
              <w:rPr>
                <w:rFonts w:ascii="Arial" w:eastAsia="Calibri" w:hAnsi="Arial" w:cs="Arial"/>
                <w:b/>
              </w:rPr>
              <w:t>Pula dostępnych środków</w:t>
            </w:r>
          </w:p>
        </w:tc>
        <w:tc>
          <w:tcPr>
            <w:tcW w:w="3227" w:type="dxa"/>
            <w:shd w:val="pct10" w:color="auto" w:fill="auto"/>
          </w:tcPr>
          <w:p w:rsidR="006718A1" w:rsidRPr="006718A1" w:rsidRDefault="006718A1" w:rsidP="00A62061">
            <w:pPr>
              <w:jc w:val="center"/>
              <w:rPr>
                <w:rFonts w:ascii="Arial" w:eastAsia="Calibri" w:hAnsi="Arial" w:cs="Arial"/>
              </w:rPr>
            </w:pPr>
          </w:p>
        </w:tc>
      </w:tr>
      <w:tr w:rsidR="006718A1" w:rsidRPr="006718A1" w:rsidTr="00A62061">
        <w:trPr>
          <w:jc w:val="center"/>
        </w:trPr>
        <w:tc>
          <w:tcPr>
            <w:tcW w:w="2906" w:type="dxa"/>
          </w:tcPr>
          <w:p w:rsidR="006718A1" w:rsidRPr="006718A1" w:rsidRDefault="006718A1" w:rsidP="00A62061">
            <w:pPr>
              <w:rPr>
                <w:rFonts w:ascii="Arial" w:eastAsia="Calibri" w:hAnsi="Arial" w:cs="Arial"/>
              </w:rPr>
            </w:pPr>
            <w:r w:rsidRPr="006718A1">
              <w:rPr>
                <w:rFonts w:ascii="Arial" w:eastAsia="Times New Roman" w:hAnsi="Arial" w:cs="Arial"/>
                <w:color w:val="000000" w:themeColor="text1"/>
                <w:lang w:val="es-ES" w:eastAsia="pl-PL"/>
              </w:rPr>
              <w:t xml:space="preserve">Liczba obiektów kulturalnych </w:t>
            </w:r>
            <w:r w:rsidRPr="006718A1">
              <w:rPr>
                <w:rFonts w:ascii="Arial" w:eastAsia="Times New Roman" w:hAnsi="Arial" w:cs="Arial"/>
                <w:color w:val="000000" w:themeColor="text1"/>
                <w:lang w:val="es-ES" w:eastAsia="pl-PL"/>
              </w:rPr>
              <w:br/>
              <w:t>i turystycznych objętych wsparciem – obiekty kulturalne</w:t>
            </w:r>
          </w:p>
        </w:tc>
        <w:tc>
          <w:tcPr>
            <w:tcW w:w="1842" w:type="dxa"/>
            <w:vAlign w:val="center"/>
          </w:tcPr>
          <w:p w:rsidR="006718A1" w:rsidRPr="006718A1" w:rsidRDefault="006718A1" w:rsidP="00A62061">
            <w:pPr>
              <w:jc w:val="center"/>
              <w:rPr>
                <w:rFonts w:ascii="Arial" w:eastAsia="Calibri" w:hAnsi="Arial" w:cs="Arial"/>
              </w:rPr>
            </w:pPr>
            <w:r w:rsidRPr="006718A1">
              <w:rPr>
                <w:rFonts w:ascii="Arial" w:eastAsia="Calibri" w:hAnsi="Arial" w:cs="Arial"/>
              </w:rPr>
              <w:t>4 sztuki</w:t>
            </w:r>
          </w:p>
        </w:tc>
        <w:tc>
          <w:tcPr>
            <w:tcW w:w="1842" w:type="dxa"/>
            <w:vAlign w:val="center"/>
          </w:tcPr>
          <w:p w:rsidR="006718A1" w:rsidRPr="006718A1" w:rsidRDefault="006718A1" w:rsidP="00A62061">
            <w:pPr>
              <w:jc w:val="center"/>
              <w:rPr>
                <w:rFonts w:ascii="Arial" w:eastAsia="Calibri" w:hAnsi="Arial" w:cs="Arial"/>
              </w:rPr>
            </w:pPr>
            <w:r w:rsidRPr="006718A1">
              <w:rPr>
                <w:rFonts w:ascii="Arial" w:eastAsia="Times New Roman" w:hAnsi="Arial" w:cs="Arial"/>
                <w:color w:val="000000" w:themeColor="text1"/>
                <w:lang w:val="es-ES" w:eastAsia="pl-PL"/>
              </w:rPr>
              <w:t>551 502,80 EUR</w:t>
            </w:r>
          </w:p>
        </w:tc>
        <w:tc>
          <w:tcPr>
            <w:tcW w:w="3227" w:type="dxa"/>
            <w:vAlign w:val="center"/>
          </w:tcPr>
          <w:p w:rsidR="006718A1" w:rsidRPr="006718A1" w:rsidRDefault="006718A1" w:rsidP="00A62061">
            <w:pPr>
              <w:jc w:val="center"/>
              <w:rPr>
                <w:rFonts w:ascii="Arial" w:eastAsia="Times New Roman" w:hAnsi="Arial" w:cs="Arial"/>
                <w:color w:val="000000" w:themeColor="text1"/>
                <w:lang w:val="es-ES" w:eastAsia="pl-PL"/>
              </w:rPr>
            </w:pPr>
            <w:r w:rsidRPr="006718A1">
              <w:rPr>
                <w:rFonts w:ascii="Arial" w:eastAsia="Times New Roman" w:hAnsi="Arial" w:cs="Arial"/>
                <w:color w:val="000000" w:themeColor="text1"/>
                <w:lang w:val="es-ES" w:eastAsia="pl-PL"/>
              </w:rPr>
              <w:t xml:space="preserve">Konkurs, w tym operacje realizowane </w:t>
            </w:r>
            <w:r w:rsidRPr="006718A1">
              <w:rPr>
                <w:rFonts w:ascii="Arial" w:eastAsia="Times New Roman" w:hAnsi="Arial" w:cs="Arial"/>
                <w:color w:val="000000" w:themeColor="text1"/>
                <w:lang w:val="es-ES" w:eastAsia="pl-PL"/>
              </w:rPr>
              <w:br/>
              <w:t>w partnerstwie</w:t>
            </w:r>
          </w:p>
        </w:tc>
      </w:tr>
      <w:tr w:rsidR="006718A1" w:rsidRPr="006718A1" w:rsidTr="00A62061">
        <w:trPr>
          <w:jc w:val="center"/>
        </w:trPr>
        <w:tc>
          <w:tcPr>
            <w:tcW w:w="2906" w:type="dxa"/>
          </w:tcPr>
          <w:p w:rsidR="006718A1" w:rsidRPr="006718A1" w:rsidRDefault="006718A1" w:rsidP="00A62061">
            <w:pPr>
              <w:rPr>
                <w:rFonts w:ascii="Arial" w:eastAsia="Calibri" w:hAnsi="Arial" w:cs="Arial"/>
              </w:rPr>
            </w:pPr>
            <w:r w:rsidRPr="006718A1">
              <w:rPr>
                <w:rFonts w:ascii="Arial" w:eastAsia="Times New Roman" w:hAnsi="Arial" w:cs="Arial"/>
                <w:color w:val="000000" w:themeColor="text1"/>
                <w:lang w:val="es-ES" w:eastAsia="pl-PL"/>
              </w:rPr>
              <w:t xml:space="preserve">Liczba obiektów kulturalnych </w:t>
            </w:r>
            <w:r w:rsidRPr="006718A1">
              <w:rPr>
                <w:rFonts w:ascii="Arial" w:eastAsia="Times New Roman" w:hAnsi="Arial" w:cs="Arial"/>
                <w:color w:val="000000" w:themeColor="text1"/>
                <w:lang w:val="es-ES" w:eastAsia="pl-PL"/>
              </w:rPr>
              <w:br/>
              <w:t>i turystycznych objętych wsparciem – obiekty turystyczne</w:t>
            </w:r>
          </w:p>
        </w:tc>
        <w:tc>
          <w:tcPr>
            <w:tcW w:w="1842" w:type="dxa"/>
            <w:vAlign w:val="center"/>
          </w:tcPr>
          <w:p w:rsidR="006718A1" w:rsidRPr="006718A1" w:rsidRDefault="006718A1" w:rsidP="00A62061">
            <w:pPr>
              <w:jc w:val="center"/>
              <w:rPr>
                <w:rFonts w:ascii="Arial" w:eastAsia="Calibri" w:hAnsi="Arial" w:cs="Arial"/>
              </w:rPr>
            </w:pPr>
            <w:r w:rsidRPr="006718A1">
              <w:rPr>
                <w:rFonts w:ascii="Arial" w:eastAsia="Calibri" w:hAnsi="Arial" w:cs="Arial"/>
              </w:rPr>
              <w:t>4 sztuki</w:t>
            </w:r>
          </w:p>
        </w:tc>
        <w:tc>
          <w:tcPr>
            <w:tcW w:w="1842" w:type="dxa"/>
            <w:vAlign w:val="center"/>
          </w:tcPr>
          <w:p w:rsidR="006718A1" w:rsidRPr="006718A1" w:rsidRDefault="006718A1" w:rsidP="00A62061">
            <w:pPr>
              <w:jc w:val="center"/>
              <w:rPr>
                <w:rFonts w:ascii="Arial" w:eastAsia="Calibri" w:hAnsi="Arial" w:cs="Arial"/>
              </w:rPr>
            </w:pPr>
            <w:r w:rsidRPr="006718A1">
              <w:rPr>
                <w:rFonts w:ascii="Arial" w:eastAsia="Times New Roman" w:hAnsi="Arial" w:cs="Arial"/>
                <w:color w:val="000000" w:themeColor="text1"/>
                <w:lang w:val="es-ES" w:eastAsia="pl-PL"/>
              </w:rPr>
              <w:t>551 502,80 EUR</w:t>
            </w:r>
          </w:p>
        </w:tc>
        <w:tc>
          <w:tcPr>
            <w:tcW w:w="3227" w:type="dxa"/>
            <w:vAlign w:val="center"/>
          </w:tcPr>
          <w:p w:rsidR="006718A1" w:rsidRPr="006718A1" w:rsidRDefault="006718A1" w:rsidP="00A62061">
            <w:pPr>
              <w:jc w:val="center"/>
              <w:rPr>
                <w:rFonts w:ascii="Arial" w:eastAsia="Times New Roman" w:hAnsi="Arial" w:cs="Arial"/>
                <w:color w:val="000000" w:themeColor="text1"/>
                <w:lang w:val="es-ES" w:eastAsia="pl-PL"/>
              </w:rPr>
            </w:pPr>
            <w:r w:rsidRPr="006718A1">
              <w:rPr>
                <w:rFonts w:ascii="Arial" w:eastAsia="Times New Roman" w:hAnsi="Arial" w:cs="Arial"/>
                <w:color w:val="000000" w:themeColor="text1"/>
                <w:lang w:val="es-ES" w:eastAsia="pl-PL"/>
              </w:rPr>
              <w:t xml:space="preserve">Konkurs, w tym operacje realizowane </w:t>
            </w:r>
            <w:r w:rsidRPr="006718A1">
              <w:rPr>
                <w:rFonts w:ascii="Arial" w:eastAsia="Times New Roman" w:hAnsi="Arial" w:cs="Arial"/>
                <w:color w:val="000000" w:themeColor="text1"/>
                <w:lang w:val="es-ES" w:eastAsia="pl-PL"/>
              </w:rPr>
              <w:br/>
              <w:t>w partnerstwie</w:t>
            </w:r>
          </w:p>
        </w:tc>
      </w:tr>
      <w:tr w:rsidR="006718A1" w:rsidRPr="006718A1" w:rsidTr="00A62061">
        <w:trPr>
          <w:jc w:val="center"/>
        </w:trPr>
        <w:tc>
          <w:tcPr>
            <w:tcW w:w="2906" w:type="dxa"/>
          </w:tcPr>
          <w:p w:rsidR="006718A1" w:rsidRPr="006718A1" w:rsidRDefault="006718A1" w:rsidP="00A62061">
            <w:pPr>
              <w:rPr>
                <w:rFonts w:ascii="Arial" w:eastAsia="Times New Roman" w:hAnsi="Arial" w:cs="Arial"/>
                <w:color w:val="000000" w:themeColor="text1"/>
                <w:lang w:val="es-ES" w:eastAsia="pl-PL"/>
              </w:rPr>
            </w:pPr>
            <w:r w:rsidRPr="006718A1">
              <w:rPr>
                <w:rFonts w:ascii="Arial" w:eastAsia="Times New Roman" w:hAnsi="Arial" w:cs="Arial"/>
                <w:color w:val="000000" w:themeColor="text1"/>
                <w:lang w:val="es-ES" w:eastAsia="pl-PL"/>
              </w:rPr>
              <w:t>Długość wspartych szlaków turystycznych</w:t>
            </w:r>
          </w:p>
        </w:tc>
        <w:tc>
          <w:tcPr>
            <w:tcW w:w="1842" w:type="dxa"/>
            <w:vAlign w:val="center"/>
          </w:tcPr>
          <w:p w:rsidR="006718A1" w:rsidRPr="006718A1" w:rsidRDefault="006718A1" w:rsidP="00A62061">
            <w:pPr>
              <w:jc w:val="center"/>
              <w:rPr>
                <w:rFonts w:ascii="Arial" w:eastAsia="Calibri" w:hAnsi="Arial" w:cs="Arial"/>
              </w:rPr>
            </w:pPr>
            <w:r w:rsidRPr="006718A1">
              <w:rPr>
                <w:rFonts w:ascii="Arial" w:eastAsia="Calibri" w:hAnsi="Arial" w:cs="Arial"/>
              </w:rPr>
              <w:t>20 km</w:t>
            </w:r>
          </w:p>
        </w:tc>
        <w:tc>
          <w:tcPr>
            <w:tcW w:w="1842" w:type="dxa"/>
            <w:vAlign w:val="center"/>
          </w:tcPr>
          <w:p w:rsidR="006718A1" w:rsidRPr="006718A1" w:rsidRDefault="006718A1" w:rsidP="00A62061">
            <w:pPr>
              <w:jc w:val="center"/>
              <w:rPr>
                <w:rFonts w:ascii="Arial" w:eastAsia="Calibri" w:hAnsi="Arial" w:cs="Arial"/>
              </w:rPr>
            </w:pPr>
            <w:r w:rsidRPr="006718A1">
              <w:rPr>
                <w:rFonts w:ascii="Arial" w:eastAsia="Times New Roman" w:hAnsi="Arial" w:cs="Arial"/>
                <w:color w:val="000000" w:themeColor="text1"/>
                <w:lang w:val="es-ES" w:eastAsia="pl-PL"/>
              </w:rPr>
              <w:t>275 751,40 EUR</w:t>
            </w:r>
          </w:p>
        </w:tc>
        <w:tc>
          <w:tcPr>
            <w:tcW w:w="3227" w:type="dxa"/>
          </w:tcPr>
          <w:p w:rsidR="006718A1" w:rsidRPr="006718A1" w:rsidRDefault="006718A1" w:rsidP="00A62061">
            <w:pPr>
              <w:jc w:val="center"/>
              <w:rPr>
                <w:rFonts w:ascii="Arial" w:eastAsia="Times New Roman" w:hAnsi="Arial" w:cs="Arial"/>
                <w:color w:val="000000" w:themeColor="text1"/>
                <w:lang w:val="es-ES" w:eastAsia="pl-PL"/>
              </w:rPr>
            </w:pPr>
            <w:r w:rsidRPr="006718A1">
              <w:rPr>
                <w:rFonts w:ascii="Arial" w:eastAsia="Times New Roman" w:hAnsi="Arial" w:cs="Arial"/>
                <w:color w:val="000000" w:themeColor="text1"/>
                <w:lang w:val="es-ES" w:eastAsia="pl-PL"/>
              </w:rPr>
              <w:t xml:space="preserve">Konkurs, w tym operacje realizowane </w:t>
            </w:r>
            <w:r w:rsidRPr="006718A1">
              <w:rPr>
                <w:rFonts w:ascii="Arial" w:eastAsia="Times New Roman" w:hAnsi="Arial" w:cs="Arial"/>
                <w:color w:val="000000" w:themeColor="text1"/>
                <w:lang w:val="es-ES" w:eastAsia="pl-PL"/>
              </w:rPr>
              <w:br/>
              <w:t>w partnerstwie</w:t>
            </w:r>
          </w:p>
        </w:tc>
      </w:tr>
    </w:tbl>
    <w:p w:rsidR="006718A1" w:rsidRPr="006718A1" w:rsidRDefault="006718A1" w:rsidP="006718A1">
      <w:pPr>
        <w:rPr>
          <w:rFonts w:ascii="Arial" w:hAnsi="Arial" w:cs="Arial"/>
          <w:sz w:val="24"/>
          <w:szCs w:val="24"/>
        </w:rPr>
      </w:pPr>
    </w:p>
    <w:p w:rsidR="006718A1" w:rsidRPr="006718A1" w:rsidRDefault="006718A1" w:rsidP="006718A1">
      <w:pPr>
        <w:rPr>
          <w:rFonts w:ascii="Arial" w:hAnsi="Arial" w:cs="Arial"/>
          <w:b/>
          <w:sz w:val="24"/>
          <w:szCs w:val="24"/>
        </w:rPr>
      </w:pPr>
      <w:r w:rsidRPr="006718A1">
        <w:rPr>
          <w:rFonts w:ascii="Arial" w:hAnsi="Arial" w:cs="Arial"/>
          <w:b/>
          <w:sz w:val="24"/>
          <w:szCs w:val="24"/>
        </w:rPr>
        <w:t>Szczegółowy Opis Priorytetów Program</w:t>
      </w:r>
      <w:bookmarkStart w:id="0" w:name="_GoBack"/>
      <w:bookmarkEnd w:id="0"/>
      <w:r w:rsidRPr="006718A1">
        <w:rPr>
          <w:rFonts w:ascii="Arial" w:hAnsi="Arial" w:cs="Arial"/>
          <w:b/>
          <w:sz w:val="24"/>
          <w:szCs w:val="24"/>
        </w:rPr>
        <w:t>u Fundusze Europejskie dla Małopolski 2021-2027</w:t>
      </w:r>
    </w:p>
    <w:p w:rsidR="006718A1" w:rsidRPr="006718A1" w:rsidRDefault="006718A1" w:rsidP="006718A1">
      <w:pPr>
        <w:rPr>
          <w:rFonts w:ascii="Arial" w:hAnsi="Arial" w:cs="Arial"/>
          <w:b/>
          <w:bCs/>
          <w:sz w:val="24"/>
          <w:szCs w:val="24"/>
        </w:rPr>
      </w:pPr>
      <w:r w:rsidRPr="006718A1">
        <w:rPr>
          <w:rFonts w:ascii="Arial" w:hAnsi="Arial" w:cs="Arial"/>
          <w:b/>
          <w:bCs/>
          <w:sz w:val="24"/>
          <w:szCs w:val="24"/>
        </w:rPr>
        <w:t>Działanie FEMP.07.06 RLKS - Wsparcie oddolnych inicjatyw na obszarach wiejskich</w:t>
      </w:r>
    </w:p>
    <w:p w:rsidR="006718A1" w:rsidRPr="006718A1" w:rsidRDefault="006718A1" w:rsidP="006718A1">
      <w:pPr>
        <w:rPr>
          <w:rFonts w:ascii="Arial" w:hAnsi="Arial" w:cs="Arial"/>
          <w:sz w:val="24"/>
          <w:szCs w:val="24"/>
        </w:rPr>
      </w:pPr>
      <w:r w:rsidRPr="006718A1">
        <w:rPr>
          <w:rFonts w:ascii="Arial" w:hAnsi="Arial" w:cs="Arial"/>
          <w:sz w:val="24"/>
          <w:szCs w:val="24"/>
        </w:rPr>
        <w:t>Dodatkowe warunki dla typów projektów: oferta turystyczna oraz trasy turystyczne</w:t>
      </w:r>
    </w:p>
    <w:p w:rsidR="006718A1" w:rsidRPr="006718A1" w:rsidRDefault="006718A1" w:rsidP="006718A1">
      <w:pPr>
        <w:rPr>
          <w:rFonts w:ascii="Arial" w:hAnsi="Arial" w:cs="Arial"/>
          <w:sz w:val="24"/>
          <w:szCs w:val="24"/>
        </w:rPr>
      </w:pPr>
      <w:r w:rsidRPr="006718A1">
        <w:rPr>
          <w:rFonts w:ascii="Arial" w:hAnsi="Arial" w:cs="Arial"/>
          <w:sz w:val="24"/>
          <w:szCs w:val="24"/>
        </w:rPr>
        <w:lastRenderedPageBreak/>
        <w:t xml:space="preserve">Zgodnie z rekomendacjami zawartymi w raporcie ETO z grudnia 2021 r. wsparcie finansowe </w:t>
      </w:r>
      <w:r w:rsidRPr="006718A1">
        <w:rPr>
          <w:rFonts w:ascii="Arial" w:hAnsi="Arial" w:cs="Arial"/>
          <w:sz w:val="24"/>
          <w:szCs w:val="24"/>
        </w:rPr>
        <w:br/>
        <w:t xml:space="preserve">z EFRR powinno być skierowane na projekty turystyczne które są: </w:t>
      </w:r>
      <w:r w:rsidRPr="006718A1">
        <w:rPr>
          <w:rFonts w:ascii="Arial" w:hAnsi="Arial" w:cs="Arial"/>
          <w:sz w:val="24"/>
          <w:szCs w:val="24"/>
        </w:rPr>
        <w:br/>
        <w:t xml:space="preserve">• wspierane odpowiednią analizą popytu i oceną potrzeb w celu ograniczenia ryzyka nieefektywności </w:t>
      </w:r>
      <w:r w:rsidRPr="006718A1">
        <w:rPr>
          <w:rFonts w:ascii="Arial" w:hAnsi="Arial" w:cs="Arial"/>
          <w:sz w:val="24"/>
          <w:szCs w:val="24"/>
        </w:rPr>
        <w:br/>
        <w:t xml:space="preserve">• skoordynowane z projektami w sąsiednich obszarach, unikając nakładania się i konkurowania </w:t>
      </w:r>
      <w:r w:rsidRPr="006718A1">
        <w:rPr>
          <w:rFonts w:ascii="Arial" w:hAnsi="Arial" w:cs="Arial"/>
          <w:sz w:val="24"/>
          <w:szCs w:val="24"/>
        </w:rPr>
        <w:br/>
        <w:t xml:space="preserve">• mają wpływ na stymulowanie aktywności turystycznej w regionie, wykraczający poza sam projekt </w:t>
      </w:r>
      <w:r w:rsidRPr="006718A1">
        <w:rPr>
          <w:rFonts w:ascii="Arial" w:hAnsi="Arial" w:cs="Arial"/>
          <w:sz w:val="24"/>
          <w:szCs w:val="24"/>
        </w:rPr>
        <w:br/>
        <w:t>• są trwałe i będą utrzymywane po ich zakończeniu.</w:t>
      </w:r>
    </w:p>
    <w:p w:rsidR="006718A1" w:rsidRPr="006718A1" w:rsidRDefault="006718A1" w:rsidP="006718A1">
      <w:pPr>
        <w:rPr>
          <w:rFonts w:ascii="Arial" w:hAnsi="Arial" w:cs="Arial"/>
          <w:sz w:val="24"/>
          <w:szCs w:val="24"/>
        </w:rPr>
      </w:pPr>
      <w:r w:rsidRPr="006718A1">
        <w:rPr>
          <w:rFonts w:ascii="Arial" w:hAnsi="Arial" w:cs="Arial"/>
          <w:sz w:val="24"/>
          <w:szCs w:val="24"/>
        </w:rPr>
        <w:t>Dodatkowe warunki:</w:t>
      </w:r>
    </w:p>
    <w:p w:rsidR="006718A1" w:rsidRPr="006718A1" w:rsidRDefault="006718A1" w:rsidP="006718A1">
      <w:pPr>
        <w:rPr>
          <w:rFonts w:ascii="Arial" w:hAnsi="Arial" w:cs="Arial"/>
          <w:sz w:val="24"/>
          <w:szCs w:val="24"/>
        </w:rPr>
      </w:pPr>
      <w:r w:rsidRPr="006718A1">
        <w:rPr>
          <w:rFonts w:ascii="Arial" w:hAnsi="Arial" w:cs="Arial"/>
          <w:sz w:val="24"/>
          <w:szCs w:val="24"/>
        </w:rPr>
        <w:t xml:space="preserve">- Zapewnione zostaną preferencje dla wykorzystania infrastruktury istniejącej, natomiast budowa nowych budynków będzie dozwolona tylko w wyjątkowych, uzasadnionych przypadkach, gdy: </w:t>
      </w:r>
      <w:r w:rsidRPr="006718A1">
        <w:rPr>
          <w:rFonts w:ascii="Arial" w:hAnsi="Arial" w:cs="Arial"/>
          <w:sz w:val="24"/>
          <w:szCs w:val="24"/>
        </w:rPr>
        <w:br/>
        <w:t>•stopień zdegradowania budynku w którym mogłaby być realizowana inwestycja uniemożliwia jego remont, przebudowę, wnioskodawca musi przedstawić analizę, która potwierdza, że ponoszenie wydatków inwestycyjnych ze względu na poziom zdegradowania obiektu byłoby znacznie wyższe niż budowa nowego budynku</w:t>
      </w:r>
      <w:r w:rsidRPr="006718A1">
        <w:rPr>
          <w:rFonts w:ascii="Arial" w:hAnsi="Arial" w:cs="Arial"/>
          <w:sz w:val="24"/>
          <w:szCs w:val="24"/>
        </w:rPr>
        <w:br/>
        <w:t>•na terenie planowanej inwestycji nie ma budynków, które można by poddać remontowi/ przebudowie, a ich budowa jest niezbędna do realizacji projektu.</w:t>
      </w:r>
    </w:p>
    <w:p w:rsidR="006718A1" w:rsidRPr="006718A1" w:rsidRDefault="006718A1" w:rsidP="006718A1">
      <w:pPr>
        <w:rPr>
          <w:rFonts w:ascii="Arial" w:hAnsi="Arial" w:cs="Arial"/>
          <w:sz w:val="24"/>
          <w:szCs w:val="24"/>
        </w:rPr>
      </w:pPr>
      <w:r w:rsidRPr="006718A1">
        <w:rPr>
          <w:rFonts w:ascii="Arial" w:hAnsi="Arial" w:cs="Arial"/>
          <w:sz w:val="24"/>
          <w:szCs w:val="24"/>
        </w:rPr>
        <w:t xml:space="preserve">- Nie będą wspierane: </w:t>
      </w:r>
      <w:r w:rsidRPr="006718A1">
        <w:rPr>
          <w:rFonts w:ascii="Arial" w:hAnsi="Arial" w:cs="Arial"/>
          <w:sz w:val="24"/>
          <w:szCs w:val="24"/>
        </w:rPr>
        <w:br/>
        <w:t>•inwestycje w elementy infrastruktury drogowej (w tym w parkingi), chyba że stanowią one nieodłączny element większego projektu, a ich koszt nie przekracza 15% kosztów kwalifikowalnych operacji. Do limitu 15% nie wchodzą elementy infrastruktury drogowej przeznaczone do ruchu pieszego i rowerowego. W miastach projekty te nie mogą obejmować budowy nowych dróg lub parkingów oraz w odniesieniu do istniejących - zwiększenia ich pojemności lub przepustowości, ani nie mogą w żaden inny sposób przyczyniać się do zwiększenia natężenia ruchu samochodowego</w:t>
      </w:r>
      <w:r w:rsidRPr="006718A1">
        <w:rPr>
          <w:rFonts w:ascii="Arial" w:hAnsi="Arial" w:cs="Arial"/>
          <w:sz w:val="24"/>
          <w:szCs w:val="24"/>
        </w:rPr>
        <w:br/>
        <w:t>•inwestycje z zakresu infrastruktury sportowej, tj. infrastruktury rozgrywek zawodów sportowych oraz wykorzystywanej do prowadzenia działalności przez kluby sportowe (w szczególności: hale sportowe, sale gimnastyczne, boiska, lodowiska, kryte baseny) szkolne obiekty sportowe</w:t>
      </w:r>
      <w:r w:rsidRPr="006718A1">
        <w:rPr>
          <w:rFonts w:ascii="Arial" w:hAnsi="Arial" w:cs="Arial"/>
          <w:sz w:val="24"/>
          <w:szCs w:val="24"/>
        </w:rPr>
        <w:br/>
        <w:t>• budynki służące funkcjom administracyjno-zarządczym</w:t>
      </w:r>
      <w:r w:rsidRPr="006718A1">
        <w:rPr>
          <w:rFonts w:ascii="Arial" w:hAnsi="Arial" w:cs="Arial"/>
          <w:sz w:val="24"/>
          <w:szCs w:val="24"/>
        </w:rPr>
        <w:br/>
        <w:t xml:space="preserve">•inwestycje z zakresu rekreacji, oznacza to, że zaprojektowana infrastruktura nie powinna służyć wyłącznie zaspokajaniu potrzeb lokalnych społeczności, ale stanowić podstawę dla wzrostu ruchu turystycznego w danej miejscowości, przyczyniać się m.in. do zróżnicowania oferty turystycznej </w:t>
      </w:r>
      <w:r w:rsidRPr="006718A1">
        <w:rPr>
          <w:rFonts w:ascii="Arial" w:hAnsi="Arial" w:cs="Arial"/>
          <w:sz w:val="24"/>
          <w:szCs w:val="24"/>
        </w:rPr>
        <w:br/>
        <w:t xml:space="preserve">i jej dywersyfikacji terytorialnej oraz wydłużenia sezonów. </w:t>
      </w:r>
      <w:r w:rsidRPr="006718A1">
        <w:rPr>
          <w:rFonts w:ascii="Arial" w:hAnsi="Arial" w:cs="Arial"/>
          <w:sz w:val="24"/>
          <w:szCs w:val="24"/>
        </w:rPr>
        <w:br/>
        <w:t xml:space="preserve">•infrastruktura lotnisk aeroklubowych </w:t>
      </w:r>
      <w:r w:rsidRPr="006718A1">
        <w:rPr>
          <w:rFonts w:ascii="Arial" w:hAnsi="Arial" w:cs="Arial"/>
          <w:sz w:val="24"/>
          <w:szCs w:val="24"/>
        </w:rPr>
        <w:br/>
        <w:t>•obiekty hotelarskie/ noclegowe, gastronomiczne w formie stacjonarnej i mobilnej, parki rozrywki.</w:t>
      </w:r>
    </w:p>
    <w:p w:rsidR="006718A1" w:rsidRPr="006718A1" w:rsidRDefault="006718A1" w:rsidP="006718A1">
      <w:pPr>
        <w:rPr>
          <w:rFonts w:ascii="Arial" w:hAnsi="Arial" w:cs="Arial"/>
          <w:sz w:val="24"/>
          <w:szCs w:val="24"/>
        </w:rPr>
      </w:pPr>
      <w:r w:rsidRPr="006718A1">
        <w:rPr>
          <w:rFonts w:ascii="Arial" w:hAnsi="Arial" w:cs="Arial"/>
          <w:sz w:val="24"/>
          <w:szCs w:val="24"/>
        </w:rPr>
        <w:lastRenderedPageBreak/>
        <w:t>- W przypadku projektów, których łączny koszt nie przekracza 200 000 euro konieczne jest uwzględnienie kosztów pośrednich w wysokości równej 3% bezpośrednich wydatków kwalifikowalnych projektu.</w:t>
      </w:r>
    </w:p>
    <w:p w:rsidR="006718A1" w:rsidRPr="006718A1" w:rsidRDefault="006718A1" w:rsidP="006718A1">
      <w:pPr>
        <w:rPr>
          <w:rFonts w:ascii="Arial" w:hAnsi="Arial" w:cs="Arial"/>
          <w:sz w:val="24"/>
          <w:szCs w:val="24"/>
        </w:rPr>
      </w:pPr>
      <w:r w:rsidRPr="006718A1">
        <w:rPr>
          <w:rFonts w:ascii="Arial" w:hAnsi="Arial" w:cs="Arial"/>
          <w:sz w:val="24"/>
          <w:szCs w:val="24"/>
        </w:rPr>
        <w:t>- Minimalna wartość wydatków kwalifikowalnych  wynosi 350 000 PLN</w:t>
      </w:r>
    </w:p>
    <w:p w:rsidR="006718A1" w:rsidRPr="006718A1" w:rsidRDefault="006718A1" w:rsidP="006718A1">
      <w:pPr>
        <w:pStyle w:val="Default"/>
        <w:rPr>
          <w:rFonts w:ascii="Arial" w:hAnsi="Arial" w:cs="Arial"/>
        </w:rPr>
      </w:pPr>
      <w:r w:rsidRPr="006718A1">
        <w:rPr>
          <w:rFonts w:ascii="Arial" w:hAnsi="Arial" w:cs="Arial"/>
        </w:rPr>
        <w:t>- Maksymalny poziom dofinansowania UE w projekcie: 85%</w:t>
      </w:r>
    </w:p>
    <w:p w:rsidR="006718A1" w:rsidRPr="006718A1" w:rsidRDefault="006718A1" w:rsidP="006718A1">
      <w:pPr>
        <w:pStyle w:val="Default"/>
        <w:rPr>
          <w:rFonts w:ascii="Arial" w:hAnsi="Arial" w:cs="Arial"/>
        </w:rPr>
      </w:pPr>
      <w:r w:rsidRPr="006718A1">
        <w:rPr>
          <w:rFonts w:ascii="Arial" w:hAnsi="Arial" w:cs="Arial"/>
          <w:bCs/>
        </w:rPr>
        <w:t xml:space="preserve">- Maksymalny poziom dofinansowania całkowitego wydatków kwalifikowalnych na poziomie projektu (środki UE + współfinansowanie ze środków krajowych przyznane beneficjentowi przez właściwą instytucję): </w:t>
      </w:r>
      <w:r w:rsidRPr="006718A1">
        <w:rPr>
          <w:rFonts w:ascii="Arial" w:hAnsi="Arial" w:cs="Arial"/>
        </w:rPr>
        <w:t>85%</w:t>
      </w:r>
    </w:p>
    <w:p w:rsidR="006718A1" w:rsidRPr="006718A1" w:rsidRDefault="006718A1" w:rsidP="006718A1">
      <w:pPr>
        <w:pStyle w:val="Default"/>
        <w:rPr>
          <w:rFonts w:ascii="Arial" w:hAnsi="Arial" w:cs="Arial"/>
        </w:rPr>
      </w:pPr>
      <w:r w:rsidRPr="006718A1">
        <w:rPr>
          <w:rFonts w:ascii="Arial" w:hAnsi="Arial" w:cs="Arial"/>
        </w:rPr>
        <w:t>- Dopuszczalny cross - financing: 5%</w:t>
      </w:r>
    </w:p>
    <w:p w:rsidR="006718A1" w:rsidRPr="006718A1" w:rsidRDefault="006718A1" w:rsidP="006718A1">
      <w:pPr>
        <w:pStyle w:val="Default"/>
        <w:rPr>
          <w:rFonts w:ascii="Arial" w:hAnsi="Arial" w:cs="Arial"/>
        </w:rPr>
      </w:pPr>
    </w:p>
    <w:p w:rsidR="006718A1" w:rsidRPr="006718A1" w:rsidRDefault="006718A1" w:rsidP="006718A1">
      <w:pPr>
        <w:pStyle w:val="Default"/>
        <w:rPr>
          <w:rFonts w:ascii="Arial" w:hAnsi="Arial" w:cs="Arial"/>
        </w:rPr>
      </w:pPr>
      <w:r w:rsidRPr="006718A1">
        <w:rPr>
          <w:rFonts w:ascii="Arial" w:hAnsi="Arial" w:cs="Arial"/>
          <w:b/>
          <w:bCs/>
        </w:rPr>
        <w:t>- Typ beneficjenta – ogólny:</w:t>
      </w:r>
    </w:p>
    <w:p w:rsidR="006718A1" w:rsidRPr="006718A1" w:rsidRDefault="006718A1" w:rsidP="006718A1">
      <w:pPr>
        <w:pStyle w:val="Default"/>
        <w:rPr>
          <w:rFonts w:ascii="Arial" w:hAnsi="Arial" w:cs="Arial"/>
        </w:rPr>
      </w:pPr>
      <w:r w:rsidRPr="006718A1">
        <w:rPr>
          <w:rFonts w:ascii="Arial" w:hAnsi="Arial" w:cs="Arial"/>
        </w:rPr>
        <w:t>Administracja publiczna, Organizacje społeczne i związki wyznaniowe, Rozwój lokalny kierowany przez społeczność (RLKS), Służby publiczne</w:t>
      </w:r>
    </w:p>
    <w:p w:rsidR="006718A1" w:rsidRPr="006718A1" w:rsidRDefault="006718A1" w:rsidP="006718A1">
      <w:pPr>
        <w:pStyle w:val="Default"/>
        <w:rPr>
          <w:rFonts w:ascii="Arial" w:hAnsi="Arial" w:cs="Arial"/>
        </w:rPr>
      </w:pPr>
    </w:p>
    <w:p w:rsidR="006718A1" w:rsidRPr="006718A1" w:rsidRDefault="006718A1" w:rsidP="006718A1">
      <w:pPr>
        <w:pStyle w:val="Default"/>
        <w:rPr>
          <w:rFonts w:ascii="Arial" w:hAnsi="Arial" w:cs="Arial"/>
        </w:rPr>
      </w:pPr>
      <w:r w:rsidRPr="006718A1">
        <w:rPr>
          <w:rFonts w:ascii="Arial" w:hAnsi="Arial" w:cs="Arial"/>
          <w:b/>
          <w:bCs/>
        </w:rPr>
        <w:t>- Typ beneficjenta – szczegółowy:</w:t>
      </w:r>
    </w:p>
    <w:p w:rsidR="006718A1" w:rsidRPr="006718A1" w:rsidRDefault="006718A1" w:rsidP="006718A1">
      <w:pPr>
        <w:pStyle w:val="Default"/>
        <w:rPr>
          <w:rFonts w:ascii="Arial" w:hAnsi="Arial" w:cs="Arial"/>
        </w:rPr>
      </w:pPr>
      <w:r w:rsidRPr="006718A1">
        <w:rPr>
          <w:rFonts w:ascii="Arial" w:hAnsi="Arial" w:cs="Arial"/>
        </w:rPr>
        <w:t xml:space="preserve">Instytucje kultury, Jednostki organizacyjne działające w imieniu jednostek samorządu terytorialnego, Jednostki Samorządu Terytorialnego, Lasy Państwowe, parki narodowe </w:t>
      </w:r>
      <w:r w:rsidRPr="006718A1">
        <w:rPr>
          <w:rFonts w:ascii="Arial" w:hAnsi="Arial" w:cs="Arial"/>
        </w:rPr>
        <w:br/>
        <w:t xml:space="preserve">i krajobrazowe, Lokalne Grupy Działania, Niepubliczne instytucje kultury, Organizacje pozarządowe, Podmioty świadczące usługi publiczne w ramach realizacji obowiązków własnych jednostek samorządu terytorialnego, Rozwój lokalny kierowany przez społeczność (RLKS) </w:t>
      </w:r>
    </w:p>
    <w:p w:rsidR="006718A1" w:rsidRPr="006718A1" w:rsidRDefault="006718A1" w:rsidP="006718A1">
      <w:pPr>
        <w:pStyle w:val="Default"/>
        <w:rPr>
          <w:rFonts w:ascii="Arial" w:hAnsi="Arial" w:cs="Arial"/>
        </w:rPr>
      </w:pPr>
    </w:p>
    <w:p w:rsidR="006718A1" w:rsidRPr="006718A1" w:rsidRDefault="006718A1" w:rsidP="006718A1">
      <w:pPr>
        <w:pStyle w:val="Default"/>
        <w:rPr>
          <w:rFonts w:ascii="Arial" w:hAnsi="Arial" w:cs="Arial"/>
        </w:rPr>
      </w:pPr>
      <w:r w:rsidRPr="006718A1">
        <w:rPr>
          <w:rFonts w:ascii="Arial" w:hAnsi="Arial" w:cs="Arial"/>
          <w:b/>
          <w:bCs/>
        </w:rPr>
        <w:t xml:space="preserve">- Grupa docelowa: </w:t>
      </w:r>
      <w:r w:rsidRPr="006718A1">
        <w:rPr>
          <w:rFonts w:ascii="Arial" w:hAnsi="Arial" w:cs="Arial"/>
        </w:rPr>
        <w:t>mieszkańcy, turyści</w:t>
      </w:r>
    </w:p>
    <w:p w:rsidR="006718A1" w:rsidRPr="006718A1" w:rsidRDefault="006718A1" w:rsidP="006718A1">
      <w:pPr>
        <w:pStyle w:val="Default"/>
        <w:rPr>
          <w:rFonts w:ascii="Arial" w:hAnsi="Arial" w:cs="Arial"/>
        </w:rPr>
      </w:pPr>
    </w:p>
    <w:p w:rsidR="006718A1" w:rsidRPr="006718A1" w:rsidRDefault="006718A1" w:rsidP="006718A1">
      <w:pPr>
        <w:rPr>
          <w:rFonts w:ascii="Arial" w:hAnsi="Arial" w:cs="Arial"/>
          <w:b/>
          <w:sz w:val="24"/>
          <w:szCs w:val="24"/>
        </w:rPr>
      </w:pPr>
      <w:r w:rsidRPr="006718A1">
        <w:rPr>
          <w:rFonts w:ascii="Arial" w:hAnsi="Arial" w:cs="Arial"/>
          <w:b/>
          <w:sz w:val="24"/>
          <w:szCs w:val="24"/>
        </w:rPr>
        <w:t>Wademekum wiedzy o wniosku dla Programu „Fundusze Europejskie dla Małopolski 2021-2027”</w:t>
      </w:r>
    </w:p>
    <w:p w:rsidR="006718A1" w:rsidRPr="006718A1" w:rsidRDefault="006718A1" w:rsidP="006718A1">
      <w:pPr>
        <w:rPr>
          <w:rFonts w:ascii="Arial" w:hAnsi="Arial" w:cs="Arial"/>
          <w:b/>
          <w:sz w:val="24"/>
          <w:szCs w:val="24"/>
        </w:rPr>
      </w:pPr>
      <w:r w:rsidRPr="006718A1">
        <w:rPr>
          <w:rFonts w:ascii="Arial" w:hAnsi="Arial" w:cs="Arial"/>
          <w:b/>
          <w:sz w:val="24"/>
          <w:szCs w:val="24"/>
        </w:rPr>
        <w:t>Decyzje budowlane:</w:t>
      </w:r>
    </w:p>
    <w:p w:rsidR="006718A1" w:rsidRPr="006718A1" w:rsidRDefault="006718A1" w:rsidP="006718A1">
      <w:pPr>
        <w:rPr>
          <w:rFonts w:ascii="Arial" w:hAnsi="Arial" w:cs="Arial"/>
          <w:sz w:val="24"/>
          <w:szCs w:val="24"/>
        </w:rPr>
      </w:pPr>
      <w:r w:rsidRPr="006718A1">
        <w:rPr>
          <w:rFonts w:ascii="Arial" w:hAnsi="Arial" w:cs="Arial"/>
          <w:sz w:val="24"/>
          <w:szCs w:val="24"/>
        </w:rPr>
        <w:t xml:space="preserve">„W związku z aplikowaniem o dofinansowanie w ramach FEM 2021-2027, będziesz zobowiązany przedstawić przywołane decyzje, aby umożliwić IZ potwierdzenie możliwości realizacji inwestycji. W oczekiwanej przez nas sytuacji powinieneś posiadać wymagane prawem polskim ostateczne decyzje administracyjne (pozwolenie na budowę)/ decyzje posiadające rygor natychmiastowej wykonalności (dotyczy wyłącznie decyzji wydanych na podstawie przepisów szczegółowych tzw. specustaw)/ zgłoszenia dla których właściwy organ nie wniósł sprzeciwu, umożliwiające realizację całego zakresu rzeczowego projektu, na moment złożenia wniosku o dofinansowanie. W takim przypadku powinieneś załączyć je do wniosku, co będzie potwierdzeniem wysokiego stopnia przygotowania Twojej inwestycji do realizacji. Zwróć uwagę, że tak przygotowana inwestycja znacząco zwiększa Twoje szanse na uzyskanie dofinansowania, ponieważ podstawowym kryterium oceny merytorycznej projektu jest ocena „Stanu przygotowania projektu do realizacji”. Z uwagi na możliwą do uzyskania liczbę punktów oraz wagę, kryterium to stanowi jedno z najważniejszych kryteriów różnicujących projekty na etapie oceny i wyboru do dofinansowania. Kryterium to stanowi zwykle również tzw. kryterium </w:t>
      </w:r>
      <w:r w:rsidRPr="006718A1">
        <w:rPr>
          <w:rFonts w:ascii="Arial" w:hAnsi="Arial" w:cs="Arial"/>
          <w:sz w:val="24"/>
          <w:szCs w:val="24"/>
        </w:rPr>
        <w:lastRenderedPageBreak/>
        <w:t>rozstrzygające. W sytuacji gdy wydane decyzje nie pozwalają na realizację wszystkich zadań w projekcie lub inwestycja jest we wstępnej fazie realizacji (decyzje nie zostały jeszcze wydane), przedstaw wszystkie ostateczne decyzje, którymi dysponujesz. Dla pozostałych wymaganych decyzji wskaż planowany termin ich uzyskania, maksymalny termin na ich dostarczenie znajdziesz w Regulaminie wyboru. W takim przypadku otrzymasz jednak niższą punktację w ramach kryterium oceny merytorycznej „Stan przygotowania projektu do realizacji”.”</w:t>
      </w:r>
    </w:p>
    <w:p w:rsidR="0091535C" w:rsidRPr="006718A1" w:rsidRDefault="0091535C">
      <w:pPr>
        <w:rPr>
          <w:rFonts w:ascii="Arial" w:hAnsi="Arial" w:cs="Arial"/>
        </w:rPr>
      </w:pPr>
    </w:p>
    <w:sectPr w:rsidR="0091535C" w:rsidRPr="006718A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271D" w:rsidRDefault="00B9271D" w:rsidP="006718A1">
      <w:pPr>
        <w:spacing w:after="0" w:line="240" w:lineRule="auto"/>
      </w:pPr>
      <w:r>
        <w:separator/>
      </w:r>
    </w:p>
  </w:endnote>
  <w:endnote w:type="continuationSeparator" w:id="0">
    <w:p w:rsidR="00B9271D" w:rsidRDefault="00B9271D" w:rsidP="00671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5559358"/>
      <w:docPartObj>
        <w:docPartGallery w:val="Page Numbers (Bottom of Page)"/>
        <w:docPartUnique/>
      </w:docPartObj>
    </w:sdtPr>
    <w:sdtContent>
      <w:p w:rsidR="006718A1" w:rsidRDefault="006718A1">
        <w:pPr>
          <w:pStyle w:val="Stopka"/>
          <w:jc w:val="right"/>
        </w:pPr>
        <w:r>
          <w:fldChar w:fldCharType="begin"/>
        </w:r>
        <w:r>
          <w:instrText>PAGE   \* MERGEFORMAT</w:instrText>
        </w:r>
        <w:r>
          <w:fldChar w:fldCharType="separate"/>
        </w:r>
        <w:r w:rsidR="00C242AD">
          <w:rPr>
            <w:noProof/>
          </w:rPr>
          <w:t>4</w:t>
        </w:r>
        <w:r>
          <w:fldChar w:fldCharType="end"/>
        </w:r>
      </w:p>
    </w:sdtContent>
  </w:sdt>
  <w:p w:rsidR="006718A1" w:rsidRDefault="006718A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271D" w:rsidRDefault="00B9271D" w:rsidP="006718A1">
      <w:pPr>
        <w:spacing w:after="0" w:line="240" w:lineRule="auto"/>
      </w:pPr>
      <w:r>
        <w:separator/>
      </w:r>
    </w:p>
  </w:footnote>
  <w:footnote w:type="continuationSeparator" w:id="0">
    <w:p w:rsidR="00B9271D" w:rsidRDefault="00B9271D" w:rsidP="006718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F5C10"/>
    <w:multiLevelType w:val="hybridMultilevel"/>
    <w:tmpl w:val="18D055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8A1"/>
    <w:rsid w:val="006718A1"/>
    <w:rsid w:val="0091535C"/>
    <w:rsid w:val="00B9271D"/>
    <w:rsid w:val="00C242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718A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6718A1"/>
    <w:pPr>
      <w:autoSpaceDE w:val="0"/>
      <w:autoSpaceDN w:val="0"/>
      <w:adjustRightInd w:val="0"/>
      <w:spacing w:after="0" w:line="240" w:lineRule="auto"/>
    </w:pPr>
    <w:rPr>
      <w:rFonts w:ascii="Calibri" w:hAnsi="Calibri" w:cs="Calibri"/>
      <w:color w:val="000000"/>
      <w:sz w:val="24"/>
      <w:szCs w:val="24"/>
    </w:rPr>
  </w:style>
  <w:style w:type="table" w:styleId="Tabela-Siatka">
    <w:name w:val="Table Grid"/>
    <w:basedOn w:val="Standardowy"/>
    <w:uiPriority w:val="59"/>
    <w:rsid w:val="006718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agwek">
    <w:name w:val="header"/>
    <w:basedOn w:val="Normalny"/>
    <w:link w:val="NagwekZnak"/>
    <w:uiPriority w:val="99"/>
    <w:unhideWhenUsed/>
    <w:rsid w:val="006718A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8A1"/>
  </w:style>
  <w:style w:type="paragraph" w:styleId="Stopka">
    <w:name w:val="footer"/>
    <w:basedOn w:val="Normalny"/>
    <w:link w:val="StopkaZnak"/>
    <w:uiPriority w:val="99"/>
    <w:unhideWhenUsed/>
    <w:rsid w:val="006718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8A1"/>
  </w:style>
  <w:style w:type="paragraph" w:styleId="Tekstdymka">
    <w:name w:val="Balloon Text"/>
    <w:basedOn w:val="Normalny"/>
    <w:link w:val="TekstdymkaZnak"/>
    <w:uiPriority w:val="99"/>
    <w:semiHidden/>
    <w:unhideWhenUsed/>
    <w:rsid w:val="006718A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718A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718A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6718A1"/>
    <w:pPr>
      <w:autoSpaceDE w:val="0"/>
      <w:autoSpaceDN w:val="0"/>
      <w:adjustRightInd w:val="0"/>
      <w:spacing w:after="0" w:line="240" w:lineRule="auto"/>
    </w:pPr>
    <w:rPr>
      <w:rFonts w:ascii="Calibri" w:hAnsi="Calibri" w:cs="Calibri"/>
      <w:color w:val="000000"/>
      <w:sz w:val="24"/>
      <w:szCs w:val="24"/>
    </w:rPr>
  </w:style>
  <w:style w:type="table" w:styleId="Tabela-Siatka">
    <w:name w:val="Table Grid"/>
    <w:basedOn w:val="Standardowy"/>
    <w:uiPriority w:val="59"/>
    <w:rsid w:val="006718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agwek">
    <w:name w:val="header"/>
    <w:basedOn w:val="Normalny"/>
    <w:link w:val="NagwekZnak"/>
    <w:uiPriority w:val="99"/>
    <w:unhideWhenUsed/>
    <w:rsid w:val="006718A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8A1"/>
  </w:style>
  <w:style w:type="paragraph" w:styleId="Stopka">
    <w:name w:val="footer"/>
    <w:basedOn w:val="Normalny"/>
    <w:link w:val="StopkaZnak"/>
    <w:uiPriority w:val="99"/>
    <w:unhideWhenUsed/>
    <w:rsid w:val="006718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8A1"/>
  </w:style>
  <w:style w:type="paragraph" w:styleId="Tekstdymka">
    <w:name w:val="Balloon Text"/>
    <w:basedOn w:val="Normalny"/>
    <w:link w:val="TekstdymkaZnak"/>
    <w:uiPriority w:val="99"/>
    <w:semiHidden/>
    <w:unhideWhenUsed/>
    <w:rsid w:val="006718A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718A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Pages>
  <Words>1096</Words>
  <Characters>6582</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INWESTYCJE_3</dc:creator>
  <cp:lastModifiedBy>INWESTYCJE_3</cp:lastModifiedBy>
  <cp:revision>1</cp:revision>
  <cp:lastPrinted>2025-05-13T08:27:00Z</cp:lastPrinted>
  <dcterms:created xsi:type="dcterms:W3CDTF">2025-05-13T08:26:00Z</dcterms:created>
  <dcterms:modified xsi:type="dcterms:W3CDTF">2025-05-13T09:12:00Z</dcterms:modified>
</cp:coreProperties>
</file>